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F3BA9" w14:textId="77777777" w:rsidR="00176177" w:rsidRPr="00176177" w:rsidRDefault="00176177" w:rsidP="007C7CEC">
      <w:pPr>
        <w:jc w:val="left"/>
        <w:rPr>
          <w:rFonts w:ascii="黑体" w:eastAsia="黑体" w:hAnsi="黑体" w:cs="方正小标宋简体"/>
          <w:bCs/>
          <w:sz w:val="32"/>
          <w:szCs w:val="32"/>
        </w:rPr>
      </w:pPr>
      <w:r w:rsidRPr="00176177">
        <w:rPr>
          <w:rFonts w:ascii="黑体" w:eastAsia="黑体" w:hAnsi="黑体" w:cs="方正小标宋简体" w:hint="eastAsia"/>
          <w:bCs/>
          <w:sz w:val="32"/>
          <w:szCs w:val="32"/>
        </w:rPr>
        <w:t>附件4</w:t>
      </w:r>
    </w:p>
    <w:p w14:paraId="26A096D7" w14:textId="7E0226CD" w:rsidR="00DA08E7" w:rsidRDefault="00281C46" w:rsidP="00527F80">
      <w:pPr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卒中急救地图医院资格评审表</w:t>
      </w:r>
      <w:r w:rsidR="00565CDE">
        <w:rPr>
          <w:rFonts w:ascii="方正小标宋简体" w:eastAsia="方正小标宋简体" w:hAnsi="方正小标宋简体" w:cs="方正小标宋简体" w:hint="eastAsia"/>
          <w:bCs/>
          <w:sz w:val="44"/>
        </w:rPr>
        <w:t>（2024）</w:t>
      </w:r>
    </w:p>
    <w:p w14:paraId="79C784C7" w14:textId="77777777" w:rsidR="003E7F46" w:rsidRPr="009E4EE6" w:rsidRDefault="00281C46" w:rsidP="00527F80">
      <w:pPr>
        <w:jc w:val="left"/>
        <w:rPr>
          <w:rFonts w:ascii="仿宋" w:eastAsia="仿宋" w:hAnsi="仿宋" w:cs="仿宋"/>
          <w:sz w:val="28"/>
          <w:szCs w:val="30"/>
          <w:u w:val="single"/>
        </w:rPr>
      </w:pPr>
      <w:r w:rsidRPr="009E4EE6">
        <w:rPr>
          <w:rFonts w:ascii="仿宋" w:eastAsia="仿宋" w:hAnsi="仿宋" w:cs="仿宋" w:hint="eastAsia"/>
          <w:sz w:val="28"/>
          <w:szCs w:val="30"/>
        </w:rPr>
        <w:t>被评审医院名称：</w:t>
      </w:r>
      <w:r w:rsidRPr="009E4EE6">
        <w:rPr>
          <w:rFonts w:ascii="仿宋" w:eastAsia="仿宋" w:hAnsi="仿宋" w:cs="仿宋" w:hint="eastAsia"/>
          <w:sz w:val="28"/>
          <w:szCs w:val="30"/>
          <w:u w:val="single"/>
        </w:rPr>
        <w:t xml:space="preserve">                        </w:t>
      </w:r>
    </w:p>
    <w:p w14:paraId="763DBBDA" w14:textId="77777777" w:rsidR="00DA08E7" w:rsidRPr="009E4EE6" w:rsidRDefault="00281C46" w:rsidP="00527F80">
      <w:pPr>
        <w:jc w:val="left"/>
        <w:rPr>
          <w:rFonts w:ascii="仿宋" w:eastAsia="仿宋" w:hAnsi="仿宋" w:cs="仿宋"/>
          <w:sz w:val="28"/>
          <w:szCs w:val="30"/>
          <w:u w:val="single"/>
        </w:rPr>
      </w:pPr>
      <w:r w:rsidRPr="009E4EE6">
        <w:rPr>
          <w:rFonts w:ascii="仿宋" w:eastAsia="仿宋" w:hAnsi="仿宋" w:cs="仿宋" w:hint="eastAsia"/>
          <w:sz w:val="28"/>
          <w:szCs w:val="30"/>
        </w:rPr>
        <w:t>评  审  时  间：</w:t>
      </w:r>
      <w:r w:rsidRPr="009E4EE6">
        <w:rPr>
          <w:rFonts w:ascii="仿宋" w:eastAsia="仿宋" w:hAnsi="仿宋" w:cs="仿宋" w:hint="eastAsia"/>
          <w:sz w:val="28"/>
          <w:szCs w:val="30"/>
          <w:u w:val="single"/>
        </w:rPr>
        <w:t xml:space="preserve">        </w:t>
      </w:r>
      <w:r w:rsidRPr="009E4EE6">
        <w:rPr>
          <w:rFonts w:ascii="仿宋" w:eastAsia="仿宋" w:hAnsi="仿宋" w:cs="仿宋" w:hint="eastAsia"/>
          <w:sz w:val="28"/>
          <w:szCs w:val="30"/>
        </w:rPr>
        <w:t>年</w:t>
      </w:r>
      <w:r w:rsidRPr="009E4EE6">
        <w:rPr>
          <w:rFonts w:ascii="仿宋" w:eastAsia="仿宋" w:hAnsi="仿宋" w:cs="仿宋" w:hint="eastAsia"/>
          <w:sz w:val="28"/>
          <w:szCs w:val="30"/>
          <w:u w:val="single"/>
        </w:rPr>
        <w:t xml:space="preserve">     </w:t>
      </w:r>
      <w:r w:rsidRPr="009E4EE6">
        <w:rPr>
          <w:rFonts w:ascii="仿宋" w:eastAsia="仿宋" w:hAnsi="仿宋" w:cs="仿宋" w:hint="eastAsia"/>
          <w:sz w:val="28"/>
          <w:szCs w:val="30"/>
        </w:rPr>
        <w:t>月</w:t>
      </w:r>
      <w:r w:rsidRPr="009E4EE6">
        <w:rPr>
          <w:rFonts w:ascii="仿宋" w:eastAsia="仿宋" w:hAnsi="仿宋" w:cs="仿宋" w:hint="eastAsia"/>
          <w:sz w:val="28"/>
          <w:szCs w:val="30"/>
          <w:u w:val="single"/>
        </w:rPr>
        <w:t xml:space="preserve">     </w:t>
      </w:r>
      <w:r w:rsidRPr="009E4EE6">
        <w:rPr>
          <w:rFonts w:ascii="仿宋" w:eastAsia="仿宋" w:hAnsi="仿宋" w:cs="仿宋" w:hint="eastAsia"/>
          <w:sz w:val="28"/>
          <w:szCs w:val="30"/>
        </w:rPr>
        <w:t>日</w:t>
      </w:r>
    </w:p>
    <w:tbl>
      <w:tblPr>
        <w:tblStyle w:val="a7"/>
        <w:tblpPr w:leftFromText="180" w:rightFromText="180" w:vertAnchor="text" w:horzAnchor="margin" w:tblpXSpec="center" w:tblpY="168"/>
        <w:tblW w:w="9149" w:type="dxa"/>
        <w:tblLayout w:type="fixed"/>
        <w:tblLook w:val="04A0" w:firstRow="1" w:lastRow="0" w:firstColumn="1" w:lastColumn="0" w:noHBand="0" w:noVBand="1"/>
      </w:tblPr>
      <w:tblGrid>
        <w:gridCol w:w="1556"/>
        <w:gridCol w:w="3040"/>
        <w:gridCol w:w="2720"/>
        <w:gridCol w:w="936"/>
        <w:gridCol w:w="897"/>
      </w:tblGrid>
      <w:tr w:rsidR="00DA08E7" w:rsidRPr="009E4EE6" w14:paraId="3CD80770" w14:textId="77777777">
        <w:trPr>
          <w:trHeight w:val="530"/>
        </w:trPr>
        <w:tc>
          <w:tcPr>
            <w:tcW w:w="1556" w:type="dxa"/>
          </w:tcPr>
          <w:p w14:paraId="395C9A40" w14:textId="77777777" w:rsidR="00DA08E7" w:rsidRPr="009E4EE6" w:rsidRDefault="00281C46">
            <w:pPr>
              <w:rPr>
                <w:rFonts w:ascii="仿宋" w:eastAsia="仿宋" w:hAnsi="仿宋" w:cs="仿宋"/>
                <w:b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b/>
                <w:sz w:val="28"/>
                <w:szCs w:val="30"/>
              </w:rPr>
              <w:t>评价项目</w:t>
            </w:r>
          </w:p>
        </w:tc>
        <w:tc>
          <w:tcPr>
            <w:tcW w:w="5760" w:type="dxa"/>
            <w:gridSpan w:val="2"/>
          </w:tcPr>
          <w:p w14:paraId="30964D10" w14:textId="77777777" w:rsidR="00DA08E7" w:rsidRPr="009E4EE6" w:rsidRDefault="00281C46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b/>
                <w:sz w:val="28"/>
                <w:szCs w:val="30"/>
              </w:rPr>
              <w:t>评价要素</w:t>
            </w:r>
          </w:p>
        </w:tc>
        <w:tc>
          <w:tcPr>
            <w:tcW w:w="936" w:type="dxa"/>
          </w:tcPr>
          <w:p w14:paraId="1117210D" w14:textId="77777777" w:rsidR="00DA08E7" w:rsidRPr="009E4EE6" w:rsidRDefault="00281C46">
            <w:pPr>
              <w:rPr>
                <w:rFonts w:ascii="仿宋" w:eastAsia="仿宋" w:hAnsi="仿宋" w:cs="仿宋"/>
                <w:b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b/>
                <w:sz w:val="28"/>
                <w:szCs w:val="30"/>
              </w:rPr>
              <w:t>分值</w:t>
            </w:r>
          </w:p>
        </w:tc>
        <w:tc>
          <w:tcPr>
            <w:tcW w:w="897" w:type="dxa"/>
          </w:tcPr>
          <w:p w14:paraId="3F5BB914" w14:textId="77777777" w:rsidR="00DA08E7" w:rsidRPr="009E4EE6" w:rsidRDefault="00281C46">
            <w:pPr>
              <w:rPr>
                <w:rFonts w:ascii="仿宋" w:eastAsia="仿宋" w:hAnsi="仿宋" w:cs="仿宋"/>
                <w:b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b/>
                <w:sz w:val="28"/>
                <w:szCs w:val="30"/>
              </w:rPr>
              <w:t>得分</w:t>
            </w:r>
          </w:p>
        </w:tc>
      </w:tr>
      <w:tr w:rsidR="00DA08E7" w:rsidRPr="009E4EE6" w14:paraId="21899554" w14:textId="77777777">
        <w:trPr>
          <w:trHeight w:val="677"/>
        </w:trPr>
        <w:tc>
          <w:tcPr>
            <w:tcW w:w="1556" w:type="dxa"/>
          </w:tcPr>
          <w:p w14:paraId="46A21EFE" w14:textId="77777777" w:rsidR="00DA08E7" w:rsidRPr="009E4EE6" w:rsidRDefault="009E4EE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一、</w:t>
            </w:r>
            <w:r w:rsidR="00281C46" w:rsidRPr="009E4EE6">
              <w:rPr>
                <w:rFonts w:ascii="仿宋" w:eastAsia="仿宋" w:hAnsi="仿宋" w:cs="仿宋" w:hint="eastAsia"/>
                <w:sz w:val="28"/>
                <w:szCs w:val="30"/>
              </w:rPr>
              <w:t xml:space="preserve">医疗机构资质 </w:t>
            </w:r>
          </w:p>
        </w:tc>
        <w:tc>
          <w:tcPr>
            <w:tcW w:w="5760" w:type="dxa"/>
            <w:gridSpan w:val="2"/>
          </w:tcPr>
          <w:p w14:paraId="548BBECE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医院级别以及是否为</w:t>
            </w:r>
            <w:r w:rsidR="00527C00">
              <w:rPr>
                <w:rFonts w:ascii="仿宋" w:eastAsia="仿宋" w:hAnsi="仿宋" w:cs="仿宋" w:hint="eastAsia"/>
                <w:sz w:val="28"/>
                <w:szCs w:val="30"/>
              </w:rPr>
              <w:t>有救治</w:t>
            </w:r>
            <w:r w:rsidR="00F81CA1">
              <w:rPr>
                <w:rFonts w:ascii="仿宋" w:eastAsia="仿宋" w:hAnsi="仿宋" w:cs="仿宋" w:hint="eastAsia"/>
                <w:sz w:val="28"/>
                <w:szCs w:val="30"/>
              </w:rPr>
              <w:t>能力的</w:t>
            </w: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卒中中心</w:t>
            </w:r>
          </w:p>
        </w:tc>
        <w:tc>
          <w:tcPr>
            <w:tcW w:w="936" w:type="dxa"/>
          </w:tcPr>
          <w:p w14:paraId="1023B816" w14:textId="1E090575" w:rsidR="00DA08E7" w:rsidRPr="009E4EE6" w:rsidRDefault="00565CDE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8</w:t>
            </w:r>
          </w:p>
        </w:tc>
        <w:tc>
          <w:tcPr>
            <w:tcW w:w="897" w:type="dxa"/>
          </w:tcPr>
          <w:p w14:paraId="4559CFE6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 xml:space="preserve">　</w:t>
            </w:r>
          </w:p>
        </w:tc>
      </w:tr>
      <w:tr w:rsidR="00DA08E7" w:rsidRPr="009E4EE6" w14:paraId="72D2C35D" w14:textId="77777777">
        <w:trPr>
          <w:trHeight w:val="1082"/>
        </w:trPr>
        <w:tc>
          <w:tcPr>
            <w:tcW w:w="1556" w:type="dxa"/>
          </w:tcPr>
          <w:p w14:paraId="36328B23" w14:textId="77777777" w:rsidR="00DA08E7" w:rsidRPr="009E4EE6" w:rsidRDefault="009E4EE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bookmarkStart w:id="0" w:name="RANGE!A5"/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二、</w:t>
            </w:r>
            <w:r w:rsidR="00281C46" w:rsidRPr="009E4EE6">
              <w:rPr>
                <w:rFonts w:ascii="仿宋" w:eastAsia="仿宋" w:hAnsi="仿宋" w:cs="仿宋" w:hint="eastAsia"/>
                <w:sz w:val="28"/>
                <w:szCs w:val="30"/>
              </w:rPr>
              <w:t>120与绿道衔接</w:t>
            </w:r>
            <w:bookmarkEnd w:id="0"/>
            <w:r w:rsidR="00281C46" w:rsidRPr="009E4EE6">
              <w:rPr>
                <w:rFonts w:ascii="仿宋" w:eastAsia="仿宋" w:hAnsi="仿宋" w:cs="仿宋" w:hint="eastAsia"/>
                <w:sz w:val="28"/>
                <w:szCs w:val="30"/>
              </w:rPr>
              <w:t xml:space="preserve"> </w:t>
            </w:r>
          </w:p>
        </w:tc>
        <w:tc>
          <w:tcPr>
            <w:tcW w:w="5760" w:type="dxa"/>
            <w:gridSpan w:val="2"/>
          </w:tcPr>
          <w:p w14:paraId="4C108C77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通讯是否24小时畅通以及120是否配备专用的影音传输设备，专用停车位等。</w:t>
            </w:r>
          </w:p>
        </w:tc>
        <w:tc>
          <w:tcPr>
            <w:tcW w:w="936" w:type="dxa"/>
          </w:tcPr>
          <w:p w14:paraId="31E98766" w14:textId="29589E52" w:rsidR="00DA08E7" w:rsidRPr="009E4EE6" w:rsidRDefault="00565CDE" w:rsidP="002C1B1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22</w:t>
            </w:r>
          </w:p>
        </w:tc>
        <w:tc>
          <w:tcPr>
            <w:tcW w:w="897" w:type="dxa"/>
          </w:tcPr>
          <w:p w14:paraId="66FC298C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 xml:space="preserve">　 </w:t>
            </w:r>
          </w:p>
        </w:tc>
      </w:tr>
      <w:tr w:rsidR="00DA08E7" w:rsidRPr="009E4EE6" w14:paraId="144F5ADB" w14:textId="77777777">
        <w:trPr>
          <w:trHeight w:val="894"/>
        </w:trPr>
        <w:tc>
          <w:tcPr>
            <w:tcW w:w="1556" w:type="dxa"/>
          </w:tcPr>
          <w:p w14:paraId="1A9DA905" w14:textId="77777777" w:rsidR="00DA08E7" w:rsidRPr="009E4EE6" w:rsidRDefault="009E4EE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三、</w:t>
            </w:r>
            <w:r w:rsidR="00281C46" w:rsidRPr="009E4EE6">
              <w:rPr>
                <w:rFonts w:ascii="仿宋" w:eastAsia="仿宋" w:hAnsi="仿宋" w:cs="仿宋" w:hint="eastAsia"/>
                <w:sz w:val="28"/>
                <w:szCs w:val="30"/>
              </w:rPr>
              <w:t>医疗设备设</w:t>
            </w:r>
            <w:r w:rsidR="006F65CD" w:rsidRPr="009E4EE6">
              <w:rPr>
                <w:rFonts w:ascii="仿宋" w:eastAsia="仿宋" w:hAnsi="仿宋" w:cs="仿宋" w:hint="eastAsia"/>
                <w:sz w:val="28"/>
                <w:szCs w:val="30"/>
              </w:rPr>
              <w:t>和信息化建设</w:t>
            </w:r>
          </w:p>
        </w:tc>
        <w:tc>
          <w:tcPr>
            <w:tcW w:w="5760" w:type="dxa"/>
            <w:gridSpan w:val="2"/>
          </w:tcPr>
          <w:p w14:paraId="2D69DD64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配备</w:t>
            </w:r>
            <w:r w:rsidR="00F81CA1">
              <w:rPr>
                <w:rFonts w:ascii="仿宋" w:eastAsia="仿宋" w:hAnsi="仿宋" w:cs="仿宋" w:hint="eastAsia"/>
                <w:sz w:val="28"/>
                <w:szCs w:val="30"/>
              </w:rPr>
              <w:t>24小时</w:t>
            </w: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值班的CT检查以及开展溶栓取栓必须的设备，急诊配备相应的急救包等。</w:t>
            </w:r>
            <w:r w:rsidR="00505585">
              <w:rPr>
                <w:rFonts w:ascii="仿宋" w:eastAsia="仿宋" w:hAnsi="仿宋" w:cs="仿宋" w:hint="eastAsia"/>
                <w:sz w:val="28"/>
                <w:szCs w:val="30"/>
              </w:rPr>
              <w:t>注册并使用全国统一的急救地图平台等。</w:t>
            </w:r>
          </w:p>
        </w:tc>
        <w:tc>
          <w:tcPr>
            <w:tcW w:w="936" w:type="dxa"/>
          </w:tcPr>
          <w:p w14:paraId="515EFE1F" w14:textId="7384B93A" w:rsidR="00DA08E7" w:rsidRPr="009E4EE6" w:rsidRDefault="00565CDE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5</w:t>
            </w:r>
          </w:p>
        </w:tc>
        <w:tc>
          <w:tcPr>
            <w:tcW w:w="897" w:type="dxa"/>
          </w:tcPr>
          <w:p w14:paraId="4447DF53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 xml:space="preserve">　 </w:t>
            </w:r>
          </w:p>
        </w:tc>
      </w:tr>
      <w:tr w:rsidR="00DA08E7" w:rsidRPr="009E4EE6" w14:paraId="0BDDFDCB" w14:textId="77777777" w:rsidTr="00527F80">
        <w:trPr>
          <w:trHeight w:val="1204"/>
        </w:trPr>
        <w:tc>
          <w:tcPr>
            <w:tcW w:w="1556" w:type="dxa"/>
          </w:tcPr>
          <w:p w14:paraId="435D4605" w14:textId="77777777" w:rsidR="00DA08E7" w:rsidRPr="009E4EE6" w:rsidRDefault="009E4EE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四、</w:t>
            </w:r>
            <w:r w:rsidR="00281C46" w:rsidRPr="009E4EE6">
              <w:rPr>
                <w:rFonts w:ascii="仿宋" w:eastAsia="仿宋" w:hAnsi="仿宋" w:cs="仿宋" w:hint="eastAsia"/>
                <w:sz w:val="28"/>
                <w:szCs w:val="30"/>
              </w:rPr>
              <w:t>人员资质及设置</w:t>
            </w:r>
          </w:p>
        </w:tc>
        <w:tc>
          <w:tcPr>
            <w:tcW w:w="5760" w:type="dxa"/>
            <w:gridSpan w:val="2"/>
          </w:tcPr>
          <w:p w14:paraId="6C540C13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设有独立急诊科、神经内</w:t>
            </w:r>
            <w:r w:rsidR="009E4EE6" w:rsidRPr="009E4EE6">
              <w:rPr>
                <w:rFonts w:ascii="仿宋" w:eastAsia="仿宋" w:hAnsi="仿宋" w:cs="仿宋" w:hint="eastAsia"/>
                <w:sz w:val="28"/>
                <w:szCs w:val="30"/>
              </w:rPr>
              <w:t>外科</w:t>
            </w: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或神经介入科等独立科室及经过专业培训24小时值班的医师及护士团队。</w:t>
            </w:r>
          </w:p>
        </w:tc>
        <w:tc>
          <w:tcPr>
            <w:tcW w:w="936" w:type="dxa"/>
          </w:tcPr>
          <w:p w14:paraId="6F602212" w14:textId="0ED7DC1C" w:rsidR="00DA08E7" w:rsidRPr="009E4EE6" w:rsidRDefault="00565CDE" w:rsidP="002C1B1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10</w:t>
            </w:r>
          </w:p>
        </w:tc>
        <w:tc>
          <w:tcPr>
            <w:tcW w:w="897" w:type="dxa"/>
          </w:tcPr>
          <w:p w14:paraId="5607FF67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 xml:space="preserve">　</w:t>
            </w:r>
          </w:p>
        </w:tc>
      </w:tr>
      <w:tr w:rsidR="00DA08E7" w:rsidRPr="009E4EE6" w14:paraId="57A54E36" w14:textId="77777777" w:rsidTr="00527F80">
        <w:trPr>
          <w:trHeight w:val="954"/>
        </w:trPr>
        <w:tc>
          <w:tcPr>
            <w:tcW w:w="1556" w:type="dxa"/>
          </w:tcPr>
          <w:p w14:paraId="5E5E1362" w14:textId="77777777" w:rsidR="00DA08E7" w:rsidRPr="009E4EE6" w:rsidRDefault="009E4EE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五、</w:t>
            </w:r>
            <w:r w:rsidR="00281C46" w:rsidRPr="009E4EE6">
              <w:rPr>
                <w:rFonts w:ascii="仿宋" w:eastAsia="仿宋" w:hAnsi="仿宋" w:cs="仿宋" w:hint="eastAsia"/>
                <w:sz w:val="28"/>
                <w:szCs w:val="30"/>
              </w:rPr>
              <w:t>技术能力</w:t>
            </w:r>
          </w:p>
        </w:tc>
        <w:tc>
          <w:tcPr>
            <w:tcW w:w="5760" w:type="dxa"/>
            <w:gridSpan w:val="2"/>
          </w:tcPr>
          <w:p w14:paraId="5A1A911C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能迅速启动绿色通道，</w:t>
            </w:r>
            <w:r w:rsidR="009E4EE6" w:rsidRPr="009E4EE6">
              <w:rPr>
                <w:rFonts w:ascii="仿宋" w:eastAsia="仿宋" w:hAnsi="仿宋" w:cs="仿宋" w:hint="eastAsia"/>
                <w:sz w:val="28"/>
                <w:szCs w:val="30"/>
              </w:rPr>
              <w:t>并</w:t>
            </w:r>
            <w:r w:rsidR="00110C5C">
              <w:rPr>
                <w:rFonts w:ascii="仿宋" w:eastAsia="仿宋" w:hAnsi="仿宋" w:cs="仿宋" w:hint="eastAsia"/>
                <w:sz w:val="28"/>
                <w:szCs w:val="30"/>
              </w:rPr>
              <w:t>具有</w:t>
            </w: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开展急诊静脉溶栓及动脉取栓等急性脑卒中救治工作的能力。</w:t>
            </w:r>
          </w:p>
        </w:tc>
        <w:tc>
          <w:tcPr>
            <w:tcW w:w="936" w:type="dxa"/>
          </w:tcPr>
          <w:p w14:paraId="483DB856" w14:textId="78302F36" w:rsidR="00DA08E7" w:rsidRPr="009E4EE6" w:rsidRDefault="00565CDE" w:rsidP="002C1B1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30</w:t>
            </w:r>
          </w:p>
        </w:tc>
        <w:tc>
          <w:tcPr>
            <w:tcW w:w="897" w:type="dxa"/>
          </w:tcPr>
          <w:p w14:paraId="02D59AEE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 xml:space="preserve">　</w:t>
            </w:r>
          </w:p>
        </w:tc>
      </w:tr>
      <w:tr w:rsidR="00DA08E7" w:rsidRPr="009E4EE6" w14:paraId="0ED5CB7D" w14:textId="77777777" w:rsidTr="00527F80">
        <w:trPr>
          <w:trHeight w:val="1356"/>
        </w:trPr>
        <w:tc>
          <w:tcPr>
            <w:tcW w:w="1556" w:type="dxa"/>
          </w:tcPr>
          <w:p w14:paraId="7BB65ED5" w14:textId="77777777" w:rsidR="00DA08E7" w:rsidRPr="009E4EE6" w:rsidRDefault="009E4EE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bookmarkStart w:id="1" w:name="RANGE!A23"/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六、</w:t>
            </w:r>
            <w:r w:rsidR="00281C46" w:rsidRPr="009E4EE6">
              <w:rPr>
                <w:rFonts w:ascii="仿宋" w:eastAsia="仿宋" w:hAnsi="仿宋" w:cs="仿宋" w:hint="eastAsia"/>
                <w:sz w:val="28"/>
                <w:szCs w:val="30"/>
              </w:rPr>
              <w:t>管理</w:t>
            </w:r>
            <w:r w:rsidR="006F65CD" w:rsidRPr="009E4EE6">
              <w:rPr>
                <w:rFonts w:ascii="仿宋" w:eastAsia="仿宋" w:hAnsi="仿宋" w:cs="仿宋" w:hint="eastAsia"/>
                <w:sz w:val="28"/>
                <w:szCs w:val="30"/>
              </w:rPr>
              <w:t>制度</w:t>
            </w:r>
            <w:r w:rsidR="00281C46" w:rsidRPr="009E4EE6">
              <w:rPr>
                <w:rFonts w:ascii="仿宋" w:eastAsia="仿宋" w:hAnsi="仿宋" w:cs="仿宋" w:hint="eastAsia"/>
                <w:sz w:val="28"/>
                <w:szCs w:val="30"/>
              </w:rPr>
              <w:t>及登记上报</w:t>
            </w:r>
            <w:bookmarkEnd w:id="1"/>
            <w:r w:rsidR="006F65CD" w:rsidRPr="009E4EE6">
              <w:rPr>
                <w:rFonts w:ascii="仿宋" w:eastAsia="仿宋" w:hAnsi="仿宋" w:cs="仿宋" w:hint="eastAsia"/>
                <w:sz w:val="28"/>
                <w:szCs w:val="30"/>
              </w:rPr>
              <w:t>能力</w:t>
            </w:r>
          </w:p>
        </w:tc>
        <w:tc>
          <w:tcPr>
            <w:tcW w:w="5760" w:type="dxa"/>
            <w:gridSpan w:val="2"/>
          </w:tcPr>
          <w:p w14:paraId="1E6113D5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设有健全的急性脑卒中救治流程，及绿色通道制度。有完整的溶栓和取栓等详细登记，并能定期上报脑</w:t>
            </w:r>
            <w:r w:rsidR="006F65CD" w:rsidRPr="009E4EE6">
              <w:rPr>
                <w:rFonts w:ascii="仿宋" w:eastAsia="仿宋" w:hAnsi="仿宋" w:cs="仿宋" w:hint="eastAsia"/>
                <w:sz w:val="28"/>
                <w:szCs w:val="30"/>
              </w:rPr>
              <w:t>防</w:t>
            </w: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委数据平台。</w:t>
            </w:r>
          </w:p>
        </w:tc>
        <w:tc>
          <w:tcPr>
            <w:tcW w:w="936" w:type="dxa"/>
          </w:tcPr>
          <w:p w14:paraId="0D428F00" w14:textId="4CDFADC5" w:rsidR="00DA08E7" w:rsidRPr="009E4EE6" w:rsidRDefault="00565CDE" w:rsidP="002C1B1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25</w:t>
            </w:r>
          </w:p>
        </w:tc>
        <w:tc>
          <w:tcPr>
            <w:tcW w:w="897" w:type="dxa"/>
          </w:tcPr>
          <w:p w14:paraId="4D74A474" w14:textId="77777777" w:rsidR="00DA08E7" w:rsidRPr="009E4EE6" w:rsidRDefault="00281C46" w:rsidP="002C1B16">
            <w:pPr>
              <w:spacing w:line="40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 xml:space="preserve">　</w:t>
            </w:r>
          </w:p>
        </w:tc>
      </w:tr>
      <w:tr w:rsidR="00DA08E7" w:rsidRPr="009E4EE6" w14:paraId="3DAC25FD" w14:textId="77777777">
        <w:trPr>
          <w:trHeight w:val="496"/>
        </w:trPr>
        <w:tc>
          <w:tcPr>
            <w:tcW w:w="1556" w:type="dxa"/>
          </w:tcPr>
          <w:p w14:paraId="3AEC299E" w14:textId="77777777" w:rsidR="00DA08E7" w:rsidRPr="009E4EE6" w:rsidRDefault="00281C46">
            <w:pPr>
              <w:spacing w:line="160" w:lineRule="atLeas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合计</w:t>
            </w:r>
          </w:p>
        </w:tc>
        <w:tc>
          <w:tcPr>
            <w:tcW w:w="5760" w:type="dxa"/>
            <w:gridSpan w:val="2"/>
          </w:tcPr>
          <w:p w14:paraId="11055683" w14:textId="77777777" w:rsidR="00DA08E7" w:rsidRPr="009E4EE6" w:rsidRDefault="00281C46">
            <w:pPr>
              <w:spacing w:line="160" w:lineRule="atLeas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 xml:space="preserve">　</w:t>
            </w:r>
          </w:p>
        </w:tc>
        <w:tc>
          <w:tcPr>
            <w:tcW w:w="936" w:type="dxa"/>
          </w:tcPr>
          <w:p w14:paraId="14D49757" w14:textId="77777777" w:rsidR="00DA08E7" w:rsidRPr="009E4EE6" w:rsidRDefault="00281C46">
            <w:pPr>
              <w:spacing w:line="160" w:lineRule="atLeas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100</w:t>
            </w:r>
          </w:p>
        </w:tc>
        <w:tc>
          <w:tcPr>
            <w:tcW w:w="897" w:type="dxa"/>
          </w:tcPr>
          <w:p w14:paraId="3ABE9D7A" w14:textId="77777777" w:rsidR="00DA08E7" w:rsidRPr="009E4EE6" w:rsidRDefault="00281C46">
            <w:pPr>
              <w:spacing w:line="160" w:lineRule="atLeas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 xml:space="preserve">　</w:t>
            </w:r>
          </w:p>
        </w:tc>
      </w:tr>
      <w:tr w:rsidR="00DA08E7" w:rsidRPr="009E4EE6" w14:paraId="74A7C312" w14:textId="77777777" w:rsidTr="007C7CEC">
        <w:trPr>
          <w:trHeight w:val="1138"/>
        </w:trPr>
        <w:tc>
          <w:tcPr>
            <w:tcW w:w="4596" w:type="dxa"/>
            <w:gridSpan w:val="2"/>
          </w:tcPr>
          <w:p w14:paraId="103A3E7E" w14:textId="77777777" w:rsidR="00DA08E7" w:rsidRPr="009E4EE6" w:rsidRDefault="00281C46">
            <w:pPr>
              <w:spacing w:line="160" w:lineRule="atLeas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被评审医院单位：</w:t>
            </w:r>
          </w:p>
          <w:p w14:paraId="257C2A9D" w14:textId="77777777" w:rsidR="00DA08E7" w:rsidRPr="009E4EE6" w:rsidRDefault="007C7CEC">
            <w:pPr>
              <w:spacing w:line="160" w:lineRule="atLeast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 xml:space="preserve">             </w:t>
            </w:r>
          </w:p>
          <w:p w14:paraId="277B7D69" w14:textId="77777777" w:rsidR="00DA08E7" w:rsidRPr="009E4EE6" w:rsidRDefault="00281C46" w:rsidP="002A2DB8">
            <w:pPr>
              <w:spacing w:line="160" w:lineRule="atLeast"/>
              <w:ind w:firstLineChars="500" w:firstLine="1400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>盖章（单位）</w:t>
            </w:r>
          </w:p>
        </w:tc>
        <w:tc>
          <w:tcPr>
            <w:tcW w:w="4553" w:type="dxa"/>
            <w:gridSpan w:val="3"/>
          </w:tcPr>
          <w:p w14:paraId="4786FDB6" w14:textId="77777777" w:rsidR="00DA08E7" w:rsidRPr="009E4EE6" w:rsidRDefault="00B57F57">
            <w:pPr>
              <w:spacing w:line="160" w:lineRule="atLeast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管理</w:t>
            </w:r>
            <w:r w:rsidR="00281C46" w:rsidRPr="009E4EE6">
              <w:rPr>
                <w:rFonts w:ascii="仿宋" w:eastAsia="仿宋" w:hAnsi="仿宋" w:cs="仿宋" w:hint="eastAsia"/>
                <w:sz w:val="28"/>
                <w:szCs w:val="30"/>
              </w:rPr>
              <w:t>医院评审人：</w:t>
            </w:r>
          </w:p>
          <w:p w14:paraId="20BFFD6B" w14:textId="77777777" w:rsidR="00DA08E7" w:rsidRPr="009E4EE6" w:rsidRDefault="00DA08E7">
            <w:pPr>
              <w:spacing w:line="160" w:lineRule="atLeast"/>
              <w:rPr>
                <w:rFonts w:ascii="仿宋" w:eastAsia="仿宋" w:hAnsi="仿宋" w:cs="仿宋"/>
                <w:sz w:val="28"/>
                <w:szCs w:val="30"/>
              </w:rPr>
            </w:pPr>
          </w:p>
          <w:p w14:paraId="0069C499" w14:textId="77777777" w:rsidR="00DA08E7" w:rsidRPr="009E4EE6" w:rsidRDefault="00281C46">
            <w:pPr>
              <w:spacing w:line="160" w:lineRule="atLeast"/>
              <w:rPr>
                <w:rFonts w:ascii="仿宋" w:eastAsia="仿宋" w:hAnsi="仿宋" w:cs="仿宋"/>
                <w:sz w:val="28"/>
                <w:szCs w:val="30"/>
              </w:rPr>
            </w:pPr>
            <w:r w:rsidRPr="009E4EE6">
              <w:rPr>
                <w:rFonts w:ascii="仿宋" w:eastAsia="仿宋" w:hAnsi="仿宋" w:cs="仿宋" w:hint="eastAsia"/>
                <w:sz w:val="28"/>
                <w:szCs w:val="30"/>
              </w:rPr>
              <w:t xml:space="preserve">             盖章(单位)</w:t>
            </w:r>
          </w:p>
        </w:tc>
      </w:tr>
    </w:tbl>
    <w:p w14:paraId="62F39129" w14:textId="77777777" w:rsidR="00DA08E7" w:rsidRPr="007C7CEC" w:rsidRDefault="002C1B16" w:rsidP="007C7CEC">
      <w:pPr>
        <w:spacing w:line="360" w:lineRule="exact"/>
        <w:rPr>
          <w:rFonts w:ascii="仿宋" w:eastAsia="仿宋" w:hAnsi="仿宋"/>
          <w:b/>
          <w:color w:val="FF0000"/>
          <w:sz w:val="28"/>
        </w:rPr>
      </w:pPr>
      <w:r w:rsidRPr="007C7CEC">
        <w:rPr>
          <w:rFonts w:ascii="仿宋" w:eastAsia="仿宋" w:hAnsi="仿宋" w:cs="仿宋" w:hint="eastAsia"/>
          <w:b/>
          <w:color w:val="FF0000"/>
          <w:sz w:val="28"/>
          <w:szCs w:val="30"/>
        </w:rPr>
        <w:t>注：</w:t>
      </w:r>
      <w:r w:rsidR="007C7CEC" w:rsidRPr="007C7CEC">
        <w:rPr>
          <w:rFonts w:ascii="仿宋" w:eastAsia="仿宋" w:hAnsi="仿宋" w:cs="仿宋" w:hint="eastAsia"/>
          <w:b/>
          <w:color w:val="FF0000"/>
          <w:sz w:val="28"/>
          <w:szCs w:val="30"/>
        </w:rPr>
        <w:t>参与</w:t>
      </w:r>
      <w:r w:rsidR="007C7CEC" w:rsidRPr="007C7CEC">
        <w:rPr>
          <w:rFonts w:ascii="仿宋" w:eastAsia="仿宋" w:hAnsi="仿宋" w:hint="eastAsia"/>
          <w:b/>
          <w:color w:val="FF0000"/>
          <w:sz w:val="28"/>
        </w:rPr>
        <w:t>医院资质需由区域地图管理医院根据实际情况评审并负责，</w:t>
      </w:r>
      <w:r w:rsidR="007C7CEC">
        <w:rPr>
          <w:rFonts w:ascii="仿宋" w:eastAsia="仿宋" w:hAnsi="仿宋" w:hint="eastAsia"/>
          <w:b/>
          <w:color w:val="FF0000"/>
          <w:sz w:val="28"/>
        </w:rPr>
        <w:t>且</w:t>
      </w:r>
      <w:r w:rsidR="007C7CEC" w:rsidRPr="007C7CEC">
        <w:rPr>
          <w:rFonts w:ascii="仿宋" w:eastAsia="仿宋" w:hAnsi="仿宋" w:cs="仿宋" w:hint="eastAsia"/>
          <w:b/>
          <w:color w:val="FF0000"/>
          <w:sz w:val="28"/>
          <w:szCs w:val="30"/>
        </w:rPr>
        <w:t>此评审表各项评分需与评审详表一致</w:t>
      </w:r>
      <w:r w:rsidR="007C7CEC">
        <w:rPr>
          <w:rFonts w:ascii="仿宋" w:eastAsia="仿宋" w:hAnsi="仿宋" w:cs="仿宋" w:hint="eastAsia"/>
          <w:b/>
          <w:color w:val="FF0000"/>
          <w:sz w:val="28"/>
          <w:szCs w:val="30"/>
        </w:rPr>
        <w:t>。</w:t>
      </w:r>
      <w:r w:rsidR="007C7CEC" w:rsidRPr="007C7CEC">
        <w:rPr>
          <w:rFonts w:ascii="仿宋" w:eastAsia="仿宋" w:hAnsi="仿宋" w:hint="eastAsia"/>
          <w:b/>
          <w:color w:val="FF0000"/>
          <w:sz w:val="28"/>
        </w:rPr>
        <w:t>如出现虚假评审等情况，将与高级卒中中心现场考评结果挂钩。</w:t>
      </w:r>
    </w:p>
    <w:sectPr w:rsidR="00DA08E7" w:rsidRPr="007C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B630" w14:textId="77777777" w:rsidR="0007337E" w:rsidRDefault="0007337E" w:rsidP="003E7F46">
      <w:r>
        <w:separator/>
      </w:r>
    </w:p>
  </w:endnote>
  <w:endnote w:type="continuationSeparator" w:id="0">
    <w:p w14:paraId="37B99ECE" w14:textId="77777777" w:rsidR="0007337E" w:rsidRDefault="0007337E" w:rsidP="003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FBCB4" w14:textId="77777777" w:rsidR="0007337E" w:rsidRDefault="0007337E" w:rsidP="003E7F46">
      <w:r>
        <w:separator/>
      </w:r>
    </w:p>
  </w:footnote>
  <w:footnote w:type="continuationSeparator" w:id="0">
    <w:p w14:paraId="3598A69E" w14:textId="77777777" w:rsidR="0007337E" w:rsidRDefault="0007337E" w:rsidP="003E7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Q0MzA2MjM0tTAxNzNW0lEKTi0uzszPAykwrAUAdrX/liwAAAA="/>
  </w:docVars>
  <w:rsids>
    <w:rsidRoot w:val="00544A8B"/>
    <w:rsid w:val="00017120"/>
    <w:rsid w:val="0007337E"/>
    <w:rsid w:val="000B6670"/>
    <w:rsid w:val="00110C5C"/>
    <w:rsid w:val="0012528F"/>
    <w:rsid w:val="0014216C"/>
    <w:rsid w:val="00174960"/>
    <w:rsid w:val="00176177"/>
    <w:rsid w:val="001D1BDC"/>
    <w:rsid w:val="001E70E5"/>
    <w:rsid w:val="00237DB4"/>
    <w:rsid w:val="00281C46"/>
    <w:rsid w:val="002A2DB8"/>
    <w:rsid w:val="002C1B16"/>
    <w:rsid w:val="002D03AE"/>
    <w:rsid w:val="0035116F"/>
    <w:rsid w:val="003711DF"/>
    <w:rsid w:val="003A05FA"/>
    <w:rsid w:val="003E7F46"/>
    <w:rsid w:val="004079F3"/>
    <w:rsid w:val="00424027"/>
    <w:rsid w:val="00441E70"/>
    <w:rsid w:val="004A5E83"/>
    <w:rsid w:val="00505585"/>
    <w:rsid w:val="00527C00"/>
    <w:rsid w:val="00527F80"/>
    <w:rsid w:val="00536745"/>
    <w:rsid w:val="00544A8B"/>
    <w:rsid w:val="00565CDE"/>
    <w:rsid w:val="005905FB"/>
    <w:rsid w:val="005909C6"/>
    <w:rsid w:val="005B0877"/>
    <w:rsid w:val="00641682"/>
    <w:rsid w:val="006648EA"/>
    <w:rsid w:val="006F4F5D"/>
    <w:rsid w:val="006F65CD"/>
    <w:rsid w:val="007C7CEC"/>
    <w:rsid w:val="00801E4F"/>
    <w:rsid w:val="00803415"/>
    <w:rsid w:val="008140A5"/>
    <w:rsid w:val="008648AC"/>
    <w:rsid w:val="008B1D4A"/>
    <w:rsid w:val="009520EF"/>
    <w:rsid w:val="0099753B"/>
    <w:rsid w:val="009E4EE6"/>
    <w:rsid w:val="00A54EC1"/>
    <w:rsid w:val="00A83A8D"/>
    <w:rsid w:val="00AA1307"/>
    <w:rsid w:val="00B02CDA"/>
    <w:rsid w:val="00B02E94"/>
    <w:rsid w:val="00B57F57"/>
    <w:rsid w:val="00B600FF"/>
    <w:rsid w:val="00BD7289"/>
    <w:rsid w:val="00BE2DC1"/>
    <w:rsid w:val="00C46371"/>
    <w:rsid w:val="00C6380F"/>
    <w:rsid w:val="00C949AB"/>
    <w:rsid w:val="00CA1DA8"/>
    <w:rsid w:val="00D45152"/>
    <w:rsid w:val="00D766BB"/>
    <w:rsid w:val="00DA08E7"/>
    <w:rsid w:val="00DD2901"/>
    <w:rsid w:val="00E53B0D"/>
    <w:rsid w:val="00E66B94"/>
    <w:rsid w:val="00EA01C7"/>
    <w:rsid w:val="00EC77CE"/>
    <w:rsid w:val="00ED6475"/>
    <w:rsid w:val="00F40624"/>
    <w:rsid w:val="00F550F0"/>
    <w:rsid w:val="00F81CA1"/>
    <w:rsid w:val="00F82584"/>
    <w:rsid w:val="00F82EB9"/>
    <w:rsid w:val="00FB2E25"/>
    <w:rsid w:val="00FB5939"/>
    <w:rsid w:val="00FF36EA"/>
    <w:rsid w:val="08DE2DED"/>
    <w:rsid w:val="29103DB5"/>
    <w:rsid w:val="2DCA1EB3"/>
    <w:rsid w:val="31065C39"/>
    <w:rsid w:val="555A0769"/>
    <w:rsid w:val="5F50723C"/>
    <w:rsid w:val="7512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0B9CA"/>
  <w15:docId w15:val="{02034C54-545C-4DED-BFDE-AAF96159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张陆陆</cp:lastModifiedBy>
  <cp:revision>38</cp:revision>
  <dcterms:created xsi:type="dcterms:W3CDTF">2018-11-07T03:28:00Z</dcterms:created>
  <dcterms:modified xsi:type="dcterms:W3CDTF">2024-06-04T07:42:00Z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